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F5" w:rsidRPr="00811655" w:rsidRDefault="00FE76BA" w:rsidP="00FE76BA">
      <w:pPr>
        <w:pStyle w:val="KeinLeerraum"/>
        <w:rPr>
          <w:rFonts w:ascii="AD Calligraphic Fraktur" w:hAnsi="AD Calligraphic Fraktur"/>
          <w:sz w:val="96"/>
          <w:szCs w:val="96"/>
        </w:rPr>
      </w:pPr>
      <w:r w:rsidRPr="00811655">
        <w:rPr>
          <w:rFonts w:ascii="AD Calligraphic Fraktur" w:hAnsi="AD Calligraphic Fraktur"/>
          <w:sz w:val="96"/>
          <w:szCs w:val="96"/>
        </w:rPr>
        <w:t>Weihwasser</w:t>
      </w:r>
    </w:p>
    <w:p w:rsidR="00FE76BA" w:rsidRDefault="00FE76BA" w:rsidP="00FE76BA">
      <w:pPr>
        <w:pStyle w:val="KeinLeerraum"/>
        <w:rPr>
          <w:rFonts w:ascii="Segoe UI Semibold" w:hAnsi="Segoe UI Semibold"/>
          <w:sz w:val="24"/>
          <w:szCs w:val="24"/>
        </w:rPr>
      </w:pPr>
    </w:p>
    <w:p w:rsidR="00811655" w:rsidRDefault="00811655" w:rsidP="00811655">
      <w:pPr>
        <w:pStyle w:val="KeinLeerraum"/>
        <w:rPr>
          <w:rFonts w:ascii="Segoe UI Semibold" w:hAnsi="Segoe UI Semibold"/>
          <w:sz w:val="28"/>
          <w:szCs w:val="28"/>
        </w:rPr>
      </w:pPr>
      <w:r w:rsidRPr="00811655">
        <w:rPr>
          <w:rFonts w:ascii="Segoe UI Semibold" w:hAnsi="Segoe UI Semibold"/>
          <w:sz w:val="28"/>
          <w:szCs w:val="28"/>
        </w:rPr>
        <w:t xml:space="preserve">1. Allgemeines. </w:t>
      </w:r>
    </w:p>
    <w:p w:rsidR="00811655" w:rsidRDefault="00811655" w:rsidP="00811655">
      <w:pPr>
        <w:pStyle w:val="KeinLeerraum"/>
        <w:rPr>
          <w:rFonts w:ascii="Segoe UI Semibold" w:hAnsi="Segoe UI Semibold"/>
          <w:sz w:val="28"/>
          <w:szCs w:val="28"/>
        </w:rPr>
      </w:pPr>
      <w:r w:rsidRPr="00811655">
        <w:rPr>
          <w:rFonts w:ascii="Segoe UI Semibold" w:hAnsi="Segoe UI Semibold"/>
          <w:sz w:val="28"/>
          <w:szCs w:val="28"/>
        </w:rPr>
        <w:t xml:space="preserve">Das Weihwasser ist ursprünglich heidnischen Kulten entnommen </w:t>
      </w:r>
    </w:p>
    <w:p w:rsidR="00811655" w:rsidRDefault="00811655" w:rsidP="00811655">
      <w:pPr>
        <w:pStyle w:val="KeinLeerraum"/>
        <w:rPr>
          <w:rFonts w:ascii="Segoe UI Semibold" w:hAnsi="Segoe UI Semibold"/>
          <w:sz w:val="28"/>
          <w:szCs w:val="28"/>
        </w:rPr>
      </w:pPr>
      <w:r w:rsidRPr="00811655">
        <w:rPr>
          <w:rFonts w:ascii="Segoe UI Semibold" w:hAnsi="Segoe UI Semibold"/>
          <w:sz w:val="28"/>
          <w:szCs w:val="28"/>
        </w:rPr>
        <w:t xml:space="preserve">(s. </w:t>
      </w:r>
      <w:hyperlink r:id="rId5" w:history="1">
        <w:proofErr w:type="spellStart"/>
        <w:r w:rsidRPr="00811655">
          <w:rPr>
            <w:rStyle w:val="Hyperlink"/>
            <w:rFonts w:ascii="Segoe UI Semibold" w:hAnsi="Segoe UI Semibold"/>
            <w:color w:val="auto"/>
            <w:sz w:val="28"/>
            <w:szCs w:val="28"/>
            <w:u w:val="none"/>
          </w:rPr>
          <w:t>Heiliwag</w:t>
        </w:r>
        <w:proofErr w:type="spellEnd"/>
      </w:hyperlink>
      <w:r w:rsidRPr="00811655">
        <w:rPr>
          <w:rFonts w:ascii="Segoe UI Semibold" w:hAnsi="Segoe UI Semibold"/>
          <w:sz w:val="28"/>
          <w:szCs w:val="28"/>
        </w:rPr>
        <w:t xml:space="preserve">) und dem christlichen anbequemt. Der moderne Katholizismus fasst es als bloßes Symbol auf, aber schon seit dem </w:t>
      </w:r>
    </w:p>
    <w:p w:rsidR="00811655" w:rsidRDefault="00811655" w:rsidP="00811655">
      <w:pPr>
        <w:pStyle w:val="KeinLeerraum"/>
        <w:rPr>
          <w:rFonts w:ascii="Segoe UI Semibold" w:hAnsi="Segoe UI Semibold"/>
          <w:sz w:val="28"/>
          <w:szCs w:val="28"/>
        </w:rPr>
      </w:pPr>
      <w:r w:rsidRPr="00811655">
        <w:rPr>
          <w:rFonts w:ascii="Segoe UI Semibold" w:hAnsi="Segoe UI Semibold"/>
          <w:sz w:val="28"/>
          <w:szCs w:val="28"/>
        </w:rPr>
        <w:t xml:space="preserve">4. Jh. wird es im Volke zu magischen Zwecken verwendet. </w:t>
      </w:r>
    </w:p>
    <w:p w:rsidR="00FE76BA" w:rsidRPr="00811655" w:rsidRDefault="00811655" w:rsidP="00811655">
      <w:pPr>
        <w:pStyle w:val="KeinLeerraum"/>
        <w:rPr>
          <w:rFonts w:ascii="Segoe UI Semibold" w:hAnsi="Segoe UI Semibold"/>
          <w:sz w:val="28"/>
          <w:szCs w:val="28"/>
        </w:rPr>
      </w:pPr>
      <w:r w:rsidRPr="00811655">
        <w:rPr>
          <w:rFonts w:ascii="Segoe UI Semibold" w:hAnsi="Segoe UI Semibold"/>
          <w:sz w:val="28"/>
          <w:szCs w:val="28"/>
        </w:rPr>
        <w:t>Das Weihwasser fault nicht, man kann es in Flaschen und Krügen das ganze Jahr aufbewahren, nach böhmischem Volksglauben sieben Jahre. Auch der protestantischen Bevölkerung gilt es in manchen Gegenden als schützendes Mittel. Es schüt</w:t>
      </w:r>
      <w:r w:rsidR="00480625">
        <w:rPr>
          <w:rFonts w:ascii="Segoe UI Semibold" w:hAnsi="Segoe UI Semibold"/>
          <w:sz w:val="28"/>
          <w:szCs w:val="28"/>
        </w:rPr>
        <w:t>zt vor allen Dingen vor Behexung</w:t>
      </w:r>
      <w:r w:rsidRPr="00811655">
        <w:rPr>
          <w:rFonts w:ascii="Segoe UI Semibold" w:hAnsi="Segoe UI Semibold"/>
          <w:sz w:val="28"/>
          <w:szCs w:val="28"/>
        </w:rPr>
        <w:t>; Teufel, Hexen und ähnliche Wesen erkennt man daran, dass sie das Besprengen mit Weihwasser nicht vertragen können; in der Oberpfalz heißt es, wenn jemand beim Betreten oder Verlassen der Kirche nicht Weihwasser nehme, so tue es der Teufel für ihn und hüpfe und springe dabei vor Freude. Weiterhin ist es ein symbolisches Mittel der Reinigung, insbesondere von lässlichen Sünden</w:t>
      </w:r>
      <w:r w:rsidR="00480625">
        <w:rPr>
          <w:rFonts w:ascii="Segoe UI Semibold" w:hAnsi="Segoe UI Semibold"/>
          <w:sz w:val="28"/>
          <w:szCs w:val="28"/>
        </w:rPr>
        <w:t>.</w:t>
      </w:r>
    </w:p>
    <w:p w:rsidR="00FE76BA" w:rsidRDefault="00FE76BA" w:rsidP="00FE76BA">
      <w:pPr>
        <w:pStyle w:val="KeinLeerraum"/>
        <w:rPr>
          <w:rFonts w:ascii="Segoe UI Semibold" w:hAnsi="Segoe UI Semibold"/>
          <w:sz w:val="24"/>
          <w:szCs w:val="24"/>
        </w:rPr>
      </w:pPr>
    </w:p>
    <w:p w:rsidR="00123297" w:rsidRDefault="00123297" w:rsidP="00FE76BA">
      <w:pPr>
        <w:pStyle w:val="KeinLeerraum"/>
        <w:rPr>
          <w:rFonts w:ascii="Segoe UI Semibold" w:hAnsi="Segoe UI Semibold"/>
          <w:sz w:val="24"/>
          <w:szCs w:val="24"/>
        </w:rPr>
      </w:pPr>
    </w:p>
    <w:p w:rsidR="003F510C" w:rsidRDefault="00123297" w:rsidP="00123297">
      <w:pPr>
        <w:pStyle w:val="KeinLeerraum"/>
        <w:rPr>
          <w:rFonts w:ascii="Segoe UI Semibold" w:hAnsi="Segoe UI Semibold"/>
          <w:sz w:val="28"/>
          <w:szCs w:val="28"/>
        </w:rPr>
      </w:pPr>
      <w:r w:rsidRPr="00123297">
        <w:rPr>
          <w:rFonts w:ascii="Segoe UI Semibold" w:hAnsi="Segoe UI Semibold"/>
          <w:sz w:val="28"/>
          <w:szCs w:val="28"/>
        </w:rPr>
        <w:t xml:space="preserve">2. Anwendung. </w:t>
      </w:r>
    </w:p>
    <w:p w:rsidR="003F510C" w:rsidRDefault="00123297" w:rsidP="00123297">
      <w:pPr>
        <w:pStyle w:val="KeinLeerraum"/>
        <w:rPr>
          <w:rFonts w:ascii="Segoe UI Semibold" w:hAnsi="Segoe UI Semibold"/>
          <w:sz w:val="28"/>
          <w:szCs w:val="28"/>
        </w:rPr>
      </w:pPr>
      <w:r w:rsidRPr="00123297">
        <w:rPr>
          <w:rFonts w:ascii="Segoe UI Semibold" w:hAnsi="Segoe UI Semibold"/>
          <w:sz w:val="28"/>
          <w:szCs w:val="28"/>
        </w:rPr>
        <w:t xml:space="preserve">Man besprengt mit Weihwasser Haus und Stall, sich selbst bei </w:t>
      </w:r>
    </w:p>
    <w:p w:rsidR="003F510C" w:rsidRDefault="00123297" w:rsidP="00123297">
      <w:pPr>
        <w:pStyle w:val="KeinLeerraum"/>
        <w:rPr>
          <w:rFonts w:ascii="Segoe UI Semibold" w:hAnsi="Segoe UI Semibold"/>
          <w:sz w:val="28"/>
          <w:szCs w:val="28"/>
        </w:rPr>
      </w:pPr>
      <w:r w:rsidRPr="00123297">
        <w:rPr>
          <w:rFonts w:ascii="Segoe UI Semibold" w:hAnsi="Segoe UI Semibold"/>
          <w:sz w:val="28"/>
          <w:szCs w:val="28"/>
        </w:rPr>
        <w:t xml:space="preserve">Ein- und Ausgängen, das Erntefeld; wenn der Wedel, mit dem der Hausvater am Dreikönigstage die Felder besprengt, recht viel Eiszapfen trägt, so wird ein gutes Erntejahr; ferner besprengt man den Erntewagen, die Saat, das Vieh; in Böhmen verschaffen sich die Hirten dazu Weihwasser aus drei verschiedenen Pfarreien (s. a. Wasserguss); weiterhin den Sterbenden, den Toten und den Sarg. Das Besprengen des Toten mit Weihwasser feit die Erschienenen gegen alle Furcht vor dem Toten, dem Tode und etwaiger Ansteckung. In Tirol geschieht es, 'dass keine unreinen Geister in seine Nähe kommen', in der Schweiz, 'dass die Seele sich ans kalte Wasser gewöhnen lerne'). Wenn ein Toter im Haus ist, wehrt das in die Ecke gesprengte Weihwasser den bösen Feind ab, und in </w:t>
      </w:r>
      <w:proofErr w:type="spellStart"/>
      <w:r w:rsidRPr="00123297">
        <w:rPr>
          <w:rFonts w:ascii="Segoe UI Semibold" w:hAnsi="Segoe UI Semibold"/>
          <w:sz w:val="28"/>
          <w:szCs w:val="28"/>
        </w:rPr>
        <w:t>Waldthurn</w:t>
      </w:r>
      <w:proofErr w:type="spellEnd"/>
      <w:r w:rsidRPr="00123297">
        <w:rPr>
          <w:rFonts w:ascii="Segoe UI Semibold" w:hAnsi="Segoe UI Semibold"/>
          <w:sz w:val="28"/>
          <w:szCs w:val="28"/>
        </w:rPr>
        <w:t xml:space="preserve"> wird, sowie die Leiche draußen ist, das bisher offene Fenster geschlossen und jedes Eckchen der Stube mit Weihwasser ausgesprengt, 'damit die Teufelchen, die bei jedem Sterbenden sich einfinden, vom Platze weichen'</w:t>
      </w:r>
      <w:r w:rsidR="003F510C">
        <w:rPr>
          <w:rFonts w:ascii="Segoe UI Semibold" w:hAnsi="Segoe UI Semibold"/>
          <w:sz w:val="28"/>
          <w:szCs w:val="28"/>
        </w:rPr>
        <w:t xml:space="preserve">. </w:t>
      </w:r>
      <w:r w:rsidRPr="00123297">
        <w:rPr>
          <w:rFonts w:ascii="Segoe UI Semibold" w:hAnsi="Segoe UI Semibold"/>
          <w:sz w:val="28"/>
          <w:szCs w:val="28"/>
        </w:rPr>
        <w:t xml:space="preserve"> </w:t>
      </w:r>
    </w:p>
    <w:p w:rsidR="003D11C9" w:rsidRDefault="00123297" w:rsidP="00123297">
      <w:pPr>
        <w:pStyle w:val="KeinLeerraum"/>
        <w:rPr>
          <w:rFonts w:ascii="Segoe UI Semibold" w:hAnsi="Segoe UI Semibold"/>
          <w:sz w:val="28"/>
          <w:szCs w:val="28"/>
        </w:rPr>
      </w:pPr>
      <w:r w:rsidRPr="00123297">
        <w:rPr>
          <w:rFonts w:ascii="Segoe UI Semibold" w:hAnsi="Segoe UI Semibold"/>
          <w:sz w:val="28"/>
          <w:szCs w:val="28"/>
        </w:rPr>
        <w:lastRenderedPageBreak/>
        <w:t>Gegen Hagel und Unwetter, das man sich von Hexen erregt denkt, sprengt man Weihwasser vors Fenster</w:t>
      </w:r>
      <w:r w:rsidR="00870675">
        <w:rPr>
          <w:rFonts w:ascii="Segoe UI Semibold" w:hAnsi="Segoe UI Semibold"/>
          <w:sz w:val="28"/>
          <w:szCs w:val="28"/>
        </w:rPr>
        <w:t xml:space="preserve">. </w:t>
      </w:r>
      <w:r w:rsidRPr="00123297">
        <w:rPr>
          <w:rFonts w:ascii="Segoe UI Semibold" w:hAnsi="Segoe UI Semibold"/>
          <w:sz w:val="28"/>
          <w:szCs w:val="28"/>
        </w:rPr>
        <w:t xml:space="preserve">Die Wöchnerin darf sich nicht selber mit Weihwasser besprengen, die Hebamme oder die Leute im Hause müssen es tun, weil die Frau im Kindbett im alten Glauben als unrein galt. Krankheiten, die von Dämonen verursacht sind, heilt man ebenfalls durch Bespritzen des Kranken mit Weihwasser, oder die Hausschwelle wird mit Weihwasser besprengt, weil man annimmt, der Kranke sei vom Teufel besessen. Das neugeborene Kind wird sofort mit Weihwasser bespritzt; vgl. dazu auch die Wasserweihe der heidnischen Germanen (K. Maurer in Abh. Bayer. </w:t>
      </w:r>
      <w:proofErr w:type="spellStart"/>
      <w:r w:rsidRPr="00123297">
        <w:rPr>
          <w:rFonts w:ascii="Segoe UI Semibold" w:hAnsi="Segoe UI Semibold"/>
          <w:sz w:val="28"/>
          <w:szCs w:val="28"/>
        </w:rPr>
        <w:t>Ak</w:t>
      </w:r>
      <w:proofErr w:type="spellEnd"/>
      <w:r w:rsidRPr="00123297">
        <w:rPr>
          <w:rFonts w:ascii="Segoe UI Semibold" w:hAnsi="Segoe UI Semibold"/>
          <w:sz w:val="28"/>
          <w:szCs w:val="28"/>
        </w:rPr>
        <w:t>. 1. Kl. 15 Abt. 3) und Odins Wasserweihe (</w:t>
      </w:r>
      <w:proofErr w:type="spellStart"/>
      <w:r w:rsidRPr="00123297">
        <w:rPr>
          <w:rFonts w:ascii="Segoe UI Semibold" w:hAnsi="Segoe UI Semibold"/>
          <w:sz w:val="28"/>
          <w:szCs w:val="28"/>
        </w:rPr>
        <w:t>Hávamál</w:t>
      </w:r>
      <w:proofErr w:type="spellEnd"/>
      <w:r w:rsidRPr="00123297">
        <w:rPr>
          <w:rFonts w:ascii="Segoe UI Semibold" w:hAnsi="Segoe UI Semibold"/>
          <w:sz w:val="28"/>
          <w:szCs w:val="28"/>
        </w:rPr>
        <w:t xml:space="preserve"> Str. 158); in </w:t>
      </w:r>
      <w:proofErr w:type="spellStart"/>
      <w:r w:rsidRPr="00123297">
        <w:rPr>
          <w:rFonts w:ascii="Segoe UI Semibold" w:hAnsi="Segoe UI Semibold"/>
          <w:sz w:val="28"/>
          <w:szCs w:val="28"/>
        </w:rPr>
        <w:t>Blaubeuren</w:t>
      </w:r>
      <w:proofErr w:type="spellEnd"/>
      <w:r w:rsidRPr="00123297">
        <w:rPr>
          <w:rFonts w:ascii="Segoe UI Semibold" w:hAnsi="Segoe UI Semibold"/>
          <w:sz w:val="28"/>
          <w:szCs w:val="28"/>
        </w:rPr>
        <w:t xml:space="preserve"> sprengt man Weihwasser ins erste Badewasser. In vielen katholischen Dörfern </w:t>
      </w:r>
      <w:r w:rsidR="00870675">
        <w:rPr>
          <w:rFonts w:ascii="Segoe UI Semibold" w:hAnsi="Segoe UI Semibold"/>
          <w:sz w:val="28"/>
          <w:szCs w:val="28"/>
        </w:rPr>
        <w:t>Badens läss</w:t>
      </w:r>
      <w:r w:rsidRPr="00123297">
        <w:rPr>
          <w:rFonts w:ascii="Segoe UI Semibold" w:hAnsi="Segoe UI Semibold"/>
          <w:sz w:val="28"/>
          <w:szCs w:val="28"/>
        </w:rPr>
        <w:t xml:space="preserve">t man das Kind nicht ohne </w:t>
      </w:r>
      <w:proofErr w:type="spellStart"/>
      <w:r w:rsidRPr="00123297">
        <w:rPr>
          <w:rFonts w:ascii="Segoe UI Semibold" w:hAnsi="Segoe UI Semibold"/>
          <w:sz w:val="28"/>
          <w:szCs w:val="28"/>
        </w:rPr>
        <w:t>Besprengung</w:t>
      </w:r>
      <w:proofErr w:type="spellEnd"/>
      <w:r w:rsidRPr="00123297">
        <w:rPr>
          <w:rFonts w:ascii="Segoe UI Semibold" w:hAnsi="Segoe UI Semibold"/>
          <w:sz w:val="28"/>
          <w:szCs w:val="28"/>
        </w:rPr>
        <w:t xml:space="preserve"> hinaus; größere Kinder darf man nachts nicht ohne vorherige Weihwasserbesprengung über die Straße bringen. Das Kind, das den Tag über zu oft fällt, hat am Morgen sein Weihwasser nicht richtig bekommen. Der heilige Wilfried von York badete sich gewohnheitsgemäß in Weihwasser. Warzen werden mit Weihwasser gewaschen, gegen Sommersprossen nimmt man Weihwasser aus fremden Kirchen. Der Landmann um Meßkirch umwickelt gern den vom Arzt bei einer Verrenkung des Pferdes verordneten Verband mit einer im Weihwasser getauchten Schnur. Ausgegossen wird Weihwasser hinter dem Toten, der zur Tür hinausgetragen wird, dass er nicht wiederkehrt; man schüttet es vor die Türe gegen Blitzgefahr</w:t>
      </w:r>
      <w:r w:rsidR="00870675">
        <w:rPr>
          <w:rFonts w:ascii="Segoe UI Semibold" w:hAnsi="Segoe UI Semibold"/>
          <w:sz w:val="28"/>
          <w:szCs w:val="28"/>
        </w:rPr>
        <w:t xml:space="preserve">. </w:t>
      </w:r>
      <w:r w:rsidRPr="00123297">
        <w:rPr>
          <w:rFonts w:ascii="Segoe UI Semibold" w:hAnsi="Segoe UI Semibold"/>
          <w:sz w:val="28"/>
          <w:szCs w:val="28"/>
        </w:rPr>
        <w:t xml:space="preserve">In </w:t>
      </w:r>
      <w:proofErr w:type="spellStart"/>
      <w:r w:rsidRPr="00123297">
        <w:rPr>
          <w:rFonts w:ascii="Segoe UI Semibold" w:hAnsi="Segoe UI Semibold"/>
          <w:sz w:val="28"/>
          <w:szCs w:val="28"/>
        </w:rPr>
        <w:t>Munderkingen</w:t>
      </w:r>
      <w:proofErr w:type="spellEnd"/>
      <w:r w:rsidRPr="00123297">
        <w:rPr>
          <w:rFonts w:ascii="Segoe UI Semibold" w:hAnsi="Segoe UI Semibold"/>
          <w:sz w:val="28"/>
          <w:szCs w:val="28"/>
        </w:rPr>
        <w:t xml:space="preserve"> gießt der Mesner am Pfingstmontag das übrig gebliebene Weihwasser die Brücke in die Donau hinab; erst von dieser Zeit an badet man in der Donau. Gegen den </w:t>
      </w:r>
      <w:proofErr w:type="spellStart"/>
      <w:r w:rsidRPr="00123297">
        <w:rPr>
          <w:rFonts w:ascii="Segoe UI Semibold" w:hAnsi="Segoe UI Semibold"/>
          <w:sz w:val="28"/>
          <w:szCs w:val="28"/>
        </w:rPr>
        <w:t>Schrättlig</w:t>
      </w:r>
      <w:proofErr w:type="spellEnd"/>
      <w:r w:rsidRPr="00123297">
        <w:rPr>
          <w:rFonts w:ascii="Segoe UI Semibold" w:hAnsi="Segoe UI Semibold"/>
          <w:sz w:val="28"/>
          <w:szCs w:val="28"/>
        </w:rPr>
        <w:t xml:space="preserve"> schüttet man Weihwasser in ein in der Türschwelle angebrachtes Loch, verschließt es mit einem Zapfen und verwehrt ihm so den Eintritt. Eingenommen wird Weihwasser bei Krankheiten der Menschen und Tiere. In Engelswies (Amt Meßkirch) gießt man dem Kind Weihwasser in die Milch, dass es eine weiße Haut bekomme; </w:t>
      </w:r>
    </w:p>
    <w:p w:rsidR="00123297" w:rsidRPr="00123297" w:rsidRDefault="00123297" w:rsidP="00123297">
      <w:pPr>
        <w:pStyle w:val="KeinLeerraum"/>
        <w:rPr>
          <w:rFonts w:ascii="Segoe UI Semibold" w:hAnsi="Segoe UI Semibold"/>
          <w:sz w:val="28"/>
          <w:szCs w:val="28"/>
        </w:rPr>
      </w:pPr>
      <w:r w:rsidRPr="00123297">
        <w:rPr>
          <w:rFonts w:ascii="Segoe UI Semibold" w:hAnsi="Segoe UI Semibold"/>
          <w:sz w:val="28"/>
          <w:szCs w:val="28"/>
        </w:rPr>
        <w:t xml:space="preserve">der Kuh, die gekälbert hat, den Kälbern bei den ersten drei Fütterungen gibt man Weihwasser in Milch; in der Eifel gab der Bauer seinem zuerst den Pflug aufs Feld ziehenden Tier ein in Weihwasser getauchtes Stück Brot, ebenso dem zuerst auf die Weide gehenden Rindvieh. Auch ins Butterfass schüttet man Weihwasser. Das Zahnen des Kindes wird erleichtert, wenn man den Saugpfropfen ins Weihwasser taucht. Auch den armen Seelen wird bei verschiedenen </w:t>
      </w:r>
      <w:r w:rsidRPr="00123297">
        <w:rPr>
          <w:rFonts w:ascii="Segoe UI Semibold" w:hAnsi="Segoe UI Semibold"/>
          <w:sz w:val="28"/>
          <w:szCs w:val="28"/>
        </w:rPr>
        <w:lastRenderedPageBreak/>
        <w:t>Gelegenheiten Weihwasser gespendet, um ihre Qualen im Fegfeuer; zu erleichtern</w:t>
      </w:r>
      <w:bookmarkStart w:id="0" w:name="_GoBack"/>
      <w:bookmarkEnd w:id="0"/>
      <w:r w:rsidRPr="00123297">
        <w:rPr>
          <w:rFonts w:ascii="Segoe UI Semibold" w:hAnsi="Segoe UI Semibold"/>
          <w:sz w:val="28"/>
          <w:szCs w:val="28"/>
        </w:rPr>
        <w:t>. Über den Gebrauch des Weihwassers am Tage der Wasserweihe.</w:t>
      </w:r>
    </w:p>
    <w:p w:rsidR="00123297" w:rsidRDefault="00123297" w:rsidP="00FE76BA">
      <w:pPr>
        <w:pStyle w:val="KeinLeerraum"/>
        <w:rPr>
          <w:rFonts w:ascii="Segoe UI Semibold" w:hAnsi="Segoe UI Semibold"/>
          <w:sz w:val="24"/>
          <w:szCs w:val="24"/>
        </w:rPr>
      </w:pPr>
    </w:p>
    <w:p w:rsidR="00CE0479" w:rsidRDefault="00FE76BA" w:rsidP="00FE76BA">
      <w:pPr>
        <w:pStyle w:val="KeinLeerraum"/>
        <w:rPr>
          <w:rFonts w:ascii="Segoe UI Semibold" w:hAnsi="Segoe UI Semibold"/>
          <w:sz w:val="28"/>
          <w:szCs w:val="28"/>
        </w:rPr>
      </w:pPr>
      <w:r w:rsidRPr="00FE76BA">
        <w:rPr>
          <w:rFonts w:ascii="Segoe UI Semibold" w:hAnsi="Segoe UI Semibold"/>
          <w:sz w:val="28"/>
          <w:szCs w:val="28"/>
        </w:rPr>
        <w:t xml:space="preserve">3. Der Weihwasserkessel hängt vielenorts in jedem Hause bei der Stubentüre; im Maas- u. Ruhrgebiet steckt man in manchen Häusern einige Reislein vom Palmbusch hinein. Ein Schälchen mit Weihwasser überm Bett ist in der Gegend von </w:t>
      </w:r>
      <w:proofErr w:type="spellStart"/>
      <w:r w:rsidRPr="00FE76BA">
        <w:rPr>
          <w:rFonts w:ascii="Segoe UI Semibold" w:hAnsi="Segoe UI Semibold"/>
          <w:sz w:val="28"/>
          <w:szCs w:val="28"/>
        </w:rPr>
        <w:t>Katscher</w:t>
      </w:r>
      <w:proofErr w:type="spellEnd"/>
      <w:r w:rsidRPr="00FE76BA">
        <w:rPr>
          <w:rFonts w:ascii="Segoe UI Semibold" w:hAnsi="Segoe UI Semibold"/>
          <w:sz w:val="28"/>
          <w:szCs w:val="28"/>
        </w:rPr>
        <w:t xml:space="preserve"> (Schlesien) für alles gut. </w:t>
      </w:r>
    </w:p>
    <w:p w:rsidR="00CE0479" w:rsidRDefault="00FE76BA" w:rsidP="00FE76BA">
      <w:pPr>
        <w:pStyle w:val="KeinLeerraum"/>
        <w:rPr>
          <w:rFonts w:ascii="Segoe UI Semibold" w:hAnsi="Segoe UI Semibold"/>
          <w:sz w:val="28"/>
          <w:szCs w:val="28"/>
        </w:rPr>
      </w:pPr>
      <w:r w:rsidRPr="00FE76BA">
        <w:rPr>
          <w:rFonts w:ascii="Segoe UI Semibold" w:hAnsi="Segoe UI Semibold"/>
          <w:sz w:val="28"/>
          <w:szCs w:val="28"/>
        </w:rPr>
        <w:t xml:space="preserve">In Westböhmen wirft der Hirt, wenn er am 1. Mai die Herde besprengt hat, das Weihwassertöpfchen mitten unter sie hinein; die Eigentümerin derjenigen Kuh, die hierbei getroffen wurde, musste dem Hirten ein Pfund Butter und ein Seidel Schmalz als Lohn verabreichen. </w:t>
      </w:r>
    </w:p>
    <w:p w:rsidR="00FE76BA" w:rsidRDefault="00FE76BA" w:rsidP="00FE76BA">
      <w:pPr>
        <w:pStyle w:val="KeinLeerraum"/>
        <w:rPr>
          <w:rFonts w:ascii="Segoe UI Semibold" w:hAnsi="Segoe UI Semibold"/>
          <w:sz w:val="28"/>
          <w:szCs w:val="28"/>
        </w:rPr>
      </w:pPr>
      <w:r w:rsidRPr="00FE76BA">
        <w:rPr>
          <w:rFonts w:ascii="Segoe UI Semibold" w:hAnsi="Segoe UI Semibold"/>
          <w:sz w:val="28"/>
          <w:szCs w:val="28"/>
        </w:rPr>
        <w:t>Bei der Ernte schneidet man zuerst drei Ähren ab und legt sie in den Weihwasserkessel. Bei Hagelwetter stellt man den Weihwasserkessel auf die Straße, so dass der Hagel hineinfällt, dann bleibt man das ganze Jahr vor Wetterschaden bewahrt. Wenn das Weihwassergefäß herabfällt, so bedeutet das nahen Todesfall</w:t>
      </w:r>
      <w:r w:rsidR="00CE0479">
        <w:rPr>
          <w:rFonts w:ascii="Segoe UI Semibold" w:hAnsi="Segoe UI Semibold"/>
          <w:sz w:val="28"/>
          <w:szCs w:val="28"/>
        </w:rPr>
        <w:t>.</w:t>
      </w:r>
    </w:p>
    <w:p w:rsidR="00974CB3" w:rsidRDefault="00974CB3" w:rsidP="00FE76BA">
      <w:pPr>
        <w:pStyle w:val="KeinLeerraum"/>
        <w:rPr>
          <w:rFonts w:ascii="Segoe UI Semibold" w:hAnsi="Segoe UI Semibold"/>
          <w:sz w:val="28"/>
          <w:szCs w:val="28"/>
        </w:rPr>
      </w:pPr>
    </w:p>
    <w:p w:rsidR="00974CB3" w:rsidRDefault="00974CB3" w:rsidP="00974CB3">
      <w:pPr>
        <w:pStyle w:val="KeinLeerraum"/>
        <w:rPr>
          <w:rFonts w:ascii="Palatino Linotype" w:hAnsi="Palatino Linotype"/>
          <w:i/>
          <w:sz w:val="28"/>
          <w:szCs w:val="28"/>
        </w:rPr>
      </w:pPr>
      <w:r w:rsidRPr="00974CB3">
        <w:rPr>
          <w:rFonts w:ascii="Palatino Linotype" w:hAnsi="Palatino Linotype"/>
          <w:i/>
          <w:sz w:val="28"/>
          <w:szCs w:val="28"/>
        </w:rPr>
        <w:t xml:space="preserve">Reinhard </w:t>
      </w:r>
      <w:proofErr w:type="spellStart"/>
      <w:r w:rsidRPr="00974CB3">
        <w:rPr>
          <w:rFonts w:ascii="Palatino Linotype" w:hAnsi="Palatino Linotype"/>
          <w:i/>
          <w:sz w:val="28"/>
          <w:szCs w:val="28"/>
        </w:rPr>
        <w:t>Hünnerkopf</w:t>
      </w:r>
      <w:proofErr w:type="spellEnd"/>
      <w:r w:rsidRPr="00974CB3">
        <w:rPr>
          <w:rFonts w:ascii="Palatino Linotype" w:hAnsi="Palatino Linotype"/>
          <w:i/>
          <w:sz w:val="28"/>
          <w:szCs w:val="28"/>
        </w:rPr>
        <w:t xml:space="preserve"> über Weihwasser im Handwörterbuch des deutschen Aberglaubens Bd. 9, Berlin 1927-1942.</w:t>
      </w:r>
    </w:p>
    <w:p w:rsidR="0038067E" w:rsidRDefault="0038067E" w:rsidP="00974CB3">
      <w:pPr>
        <w:pStyle w:val="KeinLeerraum"/>
        <w:rPr>
          <w:rFonts w:ascii="Palatino Linotype" w:hAnsi="Palatino Linotype"/>
          <w:i/>
          <w:sz w:val="28"/>
          <w:szCs w:val="28"/>
        </w:rPr>
      </w:pPr>
    </w:p>
    <w:p w:rsidR="0038067E" w:rsidRDefault="0038067E" w:rsidP="0038067E">
      <w:pPr>
        <w:pStyle w:val="KeinLeerraum"/>
        <w:rPr>
          <w:rFonts w:ascii="Segoe UI Semibold" w:hAnsi="Segoe UI Semibold"/>
          <w:sz w:val="28"/>
          <w:szCs w:val="28"/>
        </w:rPr>
      </w:pPr>
      <w:r w:rsidRPr="0038067E">
        <w:rPr>
          <w:rFonts w:ascii="Segoe UI Semibold" w:hAnsi="Segoe UI Semibold"/>
          <w:sz w:val="28"/>
          <w:szCs w:val="28"/>
        </w:rPr>
        <w:lastRenderedPageBreak/>
        <w:drawing>
          <wp:inline distT="0" distB="0" distL="0" distR="0" wp14:anchorId="1D30E999" wp14:editId="787E42E8">
            <wp:extent cx="4419600" cy="6324600"/>
            <wp:effectExtent l="0" t="0" r="0" b="0"/>
            <wp:docPr id="1" name="Grafik 1" descr="http://www.heilige-quellen.de/Ordner_Wasser_Volkskunde/Weihwasser_Huennerkopf_Ordner/Regensburger_Dom_Bru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ilige-quellen.de/Ordner_Wasser_Volkskunde/Weihwasser_Huennerkopf_Ordner/Regensburger_Dom_Brunn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6324600"/>
                    </a:xfrm>
                    <a:prstGeom prst="rect">
                      <a:avLst/>
                    </a:prstGeom>
                    <a:noFill/>
                    <a:ln>
                      <a:noFill/>
                    </a:ln>
                  </pic:spPr>
                </pic:pic>
              </a:graphicData>
            </a:graphic>
          </wp:inline>
        </w:drawing>
      </w:r>
      <w:r w:rsidRPr="0038067E">
        <w:rPr>
          <w:rFonts w:ascii="Segoe UI Semibold" w:hAnsi="Segoe UI Semibold"/>
          <w:sz w:val="28"/>
          <w:szCs w:val="28"/>
        </w:rPr>
        <w:br/>
        <w:t xml:space="preserve">Wie auf diesem historischen Stich vom Regensburger Dom, </w:t>
      </w:r>
    </w:p>
    <w:p w:rsidR="0038067E" w:rsidRDefault="0038067E" w:rsidP="0038067E">
      <w:pPr>
        <w:pStyle w:val="KeinLeerraum"/>
        <w:rPr>
          <w:rFonts w:ascii="Segoe UI Semibold" w:hAnsi="Segoe UI Semibold"/>
          <w:sz w:val="28"/>
          <w:szCs w:val="28"/>
        </w:rPr>
      </w:pPr>
      <w:r w:rsidRPr="0038067E">
        <w:rPr>
          <w:rFonts w:ascii="Segoe UI Semibold" w:hAnsi="Segoe UI Semibold"/>
          <w:sz w:val="28"/>
          <w:szCs w:val="28"/>
        </w:rPr>
        <w:t xml:space="preserve">wurde das Tauf- und Weihwasser häufig aus altheiligen Brunnen innerhalb der Kirchen geschöpft. </w:t>
      </w:r>
    </w:p>
    <w:p w:rsidR="0038067E" w:rsidRPr="0038067E" w:rsidRDefault="0038067E" w:rsidP="0038067E">
      <w:pPr>
        <w:pStyle w:val="KeinLeerraum"/>
        <w:rPr>
          <w:rFonts w:ascii="Palatino Linotype" w:hAnsi="Palatino Linotype"/>
          <w:i/>
          <w:sz w:val="28"/>
          <w:szCs w:val="28"/>
        </w:rPr>
      </w:pPr>
      <w:r>
        <w:rPr>
          <w:rFonts w:ascii="Palatino Linotype" w:hAnsi="Palatino Linotype"/>
          <w:i/>
          <w:sz w:val="28"/>
          <w:szCs w:val="28"/>
        </w:rPr>
        <w:t>Stahlstich um 1840</w:t>
      </w:r>
    </w:p>
    <w:sectPr w:rsidR="0038067E" w:rsidRPr="003806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 Calligraphic Fraktur">
    <w:panose1 w:val="00000000000000000000"/>
    <w:charset w:val="00"/>
    <w:family w:val="auto"/>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BA"/>
    <w:rsid w:val="00123297"/>
    <w:rsid w:val="0038067E"/>
    <w:rsid w:val="003D11C9"/>
    <w:rsid w:val="003F510C"/>
    <w:rsid w:val="00480625"/>
    <w:rsid w:val="005200F5"/>
    <w:rsid w:val="00681182"/>
    <w:rsid w:val="00811655"/>
    <w:rsid w:val="00870675"/>
    <w:rsid w:val="00974CB3"/>
    <w:rsid w:val="00CE0479"/>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76BA"/>
  </w:style>
  <w:style w:type="paragraph" w:styleId="Sprechblasentext">
    <w:name w:val="Balloon Text"/>
    <w:basedOn w:val="Standard"/>
    <w:link w:val="SprechblasentextZchn"/>
    <w:uiPriority w:val="99"/>
    <w:semiHidden/>
    <w:unhideWhenUsed/>
    <w:rsid w:val="003806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67E"/>
    <w:rPr>
      <w:rFonts w:ascii="Tahoma" w:hAnsi="Tahoma" w:cs="Tahoma"/>
      <w:sz w:val="16"/>
      <w:szCs w:val="16"/>
    </w:rPr>
  </w:style>
  <w:style w:type="character" w:styleId="Hyperlink">
    <w:name w:val="Hyperlink"/>
    <w:basedOn w:val="Absatz-Standardschriftart"/>
    <w:uiPriority w:val="99"/>
    <w:semiHidden/>
    <w:unhideWhenUsed/>
    <w:rsid w:val="008116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76BA"/>
  </w:style>
  <w:style w:type="paragraph" w:styleId="Sprechblasentext">
    <w:name w:val="Balloon Text"/>
    <w:basedOn w:val="Standard"/>
    <w:link w:val="SprechblasentextZchn"/>
    <w:uiPriority w:val="99"/>
    <w:semiHidden/>
    <w:unhideWhenUsed/>
    <w:rsid w:val="003806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67E"/>
    <w:rPr>
      <w:rFonts w:ascii="Tahoma" w:hAnsi="Tahoma" w:cs="Tahoma"/>
      <w:sz w:val="16"/>
      <w:szCs w:val="16"/>
    </w:rPr>
  </w:style>
  <w:style w:type="character" w:styleId="Hyperlink">
    <w:name w:val="Hyperlink"/>
    <w:basedOn w:val="Absatz-Standardschriftart"/>
    <w:uiPriority w:val="99"/>
    <w:semiHidden/>
    <w:unhideWhenUsed/>
    <w:rsid w:val="00811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eilige-quellen.de/Ordner_Wasser_Volkskunde/Heilwac_HDA_Huennerkopf_Ordner/Heilwac_HDA_Huennerkopf_Seite.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ewaldplaten</dc:creator>
  <cp:lastModifiedBy>ewaldplaten</cp:lastModifiedBy>
  <cp:revision>9</cp:revision>
  <dcterms:created xsi:type="dcterms:W3CDTF">2015-05-15T08:24:00Z</dcterms:created>
  <dcterms:modified xsi:type="dcterms:W3CDTF">2015-05-15T08:35:00Z</dcterms:modified>
</cp:coreProperties>
</file>